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MATH-1070Q - Mathematics for Business and Economics - Sec 820</w:t>
      </w:r>
    </w:p>
    <w:p>
      <w:pPr>
        <w:pStyle w:val="BodyText"/>
      </w:pPr>
      <w:r>
        <w:t xml:space="preserve">Summer 2026</w:t>
      </w:r>
    </w:p>
    <w:p>
      <w:pPr>
        <w:pStyle w:val="BodyText"/>
      </w:pPr>
      <w:r>
        <w:t xml:space="preserve">Syllabus information may be subject to change. The most up-to-date syllabus is located within the course in HuskyCT.</w:t>
      </w:r>
    </w:p>
    <w:p>
      <w:r>
        <w:pict>
          <v:rect style="width:0;height:1.5pt" o:hralign="center" o:hrstd="t" o:hr="t"/>
        </w:pict>
      </w:r>
    </w:p>
    <w:bookmarkStart w:id="21" w:name="instructor-information"/>
    <w:p>
      <w:pPr>
        <w:pStyle w:val="Heading2"/>
      </w:pPr>
      <w:r>
        <w:t xml:space="preserve">Instructor Information</w:t>
      </w:r>
    </w:p>
    <w:p>
      <w:pPr>
        <w:pStyle w:val="Compact"/>
        <w:numPr>
          <w:ilvl w:val="0"/>
          <w:numId w:val="1001"/>
        </w:numPr>
      </w:pPr>
      <w:r>
        <w:t xml:space="preserve">Instructor: Nuwanthi Samarawickrama, Ph.D. (she/her). You can call me Dr. Nuwanthi, Dr. Samarawickrama, or Dr. Nuwi</w:t>
      </w:r>
    </w:p>
    <w:p>
      <w:pPr>
        <w:pStyle w:val="Compact"/>
        <w:numPr>
          <w:ilvl w:val="0"/>
          <w:numId w:val="1001"/>
        </w:numPr>
      </w:pPr>
      <w:r>
        <w:t xml:space="preserve">Format: Online, Tuesday, Thursday, 6:00-9:30 PM</w:t>
      </w:r>
    </w:p>
    <w:p>
      <w:pPr>
        <w:pStyle w:val="Compact"/>
        <w:numPr>
          <w:ilvl w:val="0"/>
          <w:numId w:val="1001"/>
        </w:numPr>
      </w:pPr>
      <w:r>
        <w:t xml:space="preserve">Email:</w:t>
      </w:r>
      <w:r>
        <w:t xml:space="preserve"> </w:t>
      </w:r>
      <w:hyperlink r:id="rId20">
        <w:r>
          <w:rPr>
            <w:rStyle w:val="Hyperlink"/>
          </w:rPr>
          <w:t xml:space="preserve">coi25002@uconn.edu</w:t>
        </w:r>
      </w:hyperlink>
    </w:p>
    <w:p>
      <w:pPr>
        <w:pStyle w:val="Compact"/>
        <w:numPr>
          <w:ilvl w:val="0"/>
          <w:numId w:val="1001"/>
        </w:numPr>
      </w:pPr>
      <w:r>
        <w:t xml:space="preserve">Prerequisites: Recommended preparation: MATH 1010 or equivalent</w:t>
      </w:r>
    </w:p>
    <w:p>
      <w:r>
        <w:pict>
          <v:rect style="width:0;height:1.5pt" o:hralign="center" o:hrstd="t" o:hr="t"/>
        </w:pict>
      </w:r>
    </w:p>
    <w:bookmarkEnd w:id="21"/>
    <w:bookmarkStart w:id="23" w:name="course-materials"/>
    <w:p>
      <w:pPr>
        <w:pStyle w:val="Heading2"/>
      </w:pPr>
      <w:r>
        <w:t xml:space="preserve">Course Materials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Textbook:</w:t>
      </w:r>
      <w:r>
        <w:t xml:space="preserve"> </w:t>
      </w:r>
      <w:r>
        <w:t xml:space="preserve">Applied Finite Mathematics by Edmond C. Tomastik and Janice L. Epstein (bundled with WebAssign Code). Purchase directly from Cengage. Physical textbook is not required.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Calculators:</w:t>
      </w:r>
      <w:r>
        <w:t xml:space="preserve"> </w:t>
      </w:r>
      <w:r>
        <w:t xml:space="preserve">Graphing calculators allowed: TI 82, 83, 84, 84 plus, 85, 86. TI-89 or above (including TI-Nspire) not allowed. Basic calculator required for powers, exponentials, logarithms.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HuskyCT:</w:t>
      </w:r>
      <w:r>
        <w:t xml:space="preserve"> </w:t>
      </w:r>
      <w:r>
        <w:t xml:space="preserve">Access course materials, videos, readings, quizzes, worksheets, WebAssign homework, and exams at</w:t>
      </w:r>
      <w:r>
        <w:t xml:space="preserve"> </w:t>
      </w:r>
      <w:hyperlink r:id="rId22">
        <w:r>
          <w:rPr>
            <w:rStyle w:val="Hyperlink"/>
          </w:rPr>
          <w:t xml:space="preserve">https://huskyct.uconn.edu</w:t>
        </w:r>
      </w:hyperlink>
      <w:r>
        <w:t xml:space="preserve">.</w:t>
      </w:r>
    </w:p>
    <w:p>
      <w:r>
        <w:pict>
          <v:rect style="width:0;height:1.5pt" o:hralign="center" o:hrstd="t" o:hr="t"/>
        </w:pict>
      </w:r>
    </w:p>
    <w:bookmarkEnd w:id="23"/>
    <w:bookmarkStart w:id="24" w:name="course-description"/>
    <w:p>
      <w:pPr>
        <w:pStyle w:val="Heading2"/>
      </w:pPr>
      <w:r>
        <w:t xml:space="preserve">Course Description</w:t>
      </w:r>
    </w:p>
    <w:p>
      <w:pPr>
        <w:pStyle w:val="FirstParagraph"/>
      </w:pPr>
      <w:r>
        <w:t xml:space="preserve">This course covers key mathematical tools, including probability, systems of equations, matrices, interest computations, and foundational statistics, with a focus on real-world applications in business and economics. This course fulfills the Quantitative (Q) General Education requirement.</w:t>
      </w:r>
    </w:p>
    <w:p>
      <w:r>
        <w:pict>
          <v:rect style="width:0;height:1.5pt" o:hralign="center" o:hrstd="t" o:hr="t"/>
        </w:pict>
      </w:r>
    </w:p>
    <w:bookmarkEnd w:id="24"/>
    <w:bookmarkStart w:id="25" w:name="course-objectives"/>
    <w:p>
      <w:pPr>
        <w:pStyle w:val="Heading2"/>
      </w:pPr>
      <w:r>
        <w:t xml:space="preserve">Course Objectives</w:t>
      </w:r>
    </w:p>
    <w:p>
      <w:pPr>
        <w:pStyle w:val="FirstParagraph"/>
      </w:pPr>
      <w:r>
        <w:t xml:space="preserve">By the end of this course, students will be able to: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Understand and Work with Sets:</w:t>
      </w:r>
      <w:r>
        <w:t xml:space="preserve"> </w:t>
      </w:r>
      <w:r>
        <w:t xml:space="preserve">Grasp fundamental concepts and determine cardinality.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Master Probability Concepts:</w:t>
      </w:r>
      <w:r>
        <w:t xml:space="preserve"> </w:t>
      </w:r>
      <w:r>
        <w:t xml:space="preserve">Solve probability problems including conditional probability and Bayes’ Theorem.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Apply Combinatorics:</w:t>
      </w:r>
      <w:r>
        <w:t xml:space="preserve"> </w:t>
      </w:r>
      <w:r>
        <w:t xml:space="preserve">Use permutations and combinations for counting and probability.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Analyze Bernoulli Trials:</w:t>
      </w:r>
      <w:r>
        <w:t xml:space="preserve"> </w:t>
      </w:r>
      <w:r>
        <w:t xml:space="preserve">Compute probabilities for Bernoulli trials.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Understand Random Variables and Distributions:</w:t>
      </w:r>
      <w:r>
        <w:t xml:space="preserve"> </w:t>
      </w:r>
      <w:r>
        <w:t xml:space="preserve">Calculate measures of central tendency, variability, and apply the normal distribution.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Perform Financial Calculations:</w:t>
      </w:r>
      <w:r>
        <w:t xml:space="preserve"> </w:t>
      </w:r>
      <w:r>
        <w:t xml:space="preserve">Solve simple/compound interest, annuities, and amortization problems.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Develop and Use Mathematical Models:</w:t>
      </w:r>
      <w:r>
        <w:t xml:space="preserve"> </w:t>
      </w:r>
      <w:r>
        <w:t xml:space="preserve">Construct simple models for business and economic situations.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Solve Systems of Equations:</w:t>
      </w:r>
      <w:r>
        <w:t xml:space="preserve"> </w:t>
      </w:r>
      <w:r>
        <w:t xml:space="preserve">Use substitution, elimination, and linear programming.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Perform Matrix Operations:</w:t>
      </w:r>
      <w:r>
        <w:t xml:space="preserve"> </w:t>
      </w:r>
      <w:r>
        <w:t xml:space="preserve">Multiply matrices, apply Gaussian elimination.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Use Matrices to Solve Problems:</w:t>
      </w:r>
      <w:r>
        <w:t xml:space="preserve"> </w:t>
      </w:r>
      <w:r>
        <w:t xml:space="preserve">Solve linear systems efficiently using matrices.</w:t>
      </w:r>
    </w:p>
    <w:p>
      <w:r>
        <w:pict>
          <v:rect style="width:0;height:1.5pt" o:hralign="center" o:hrstd="t" o:hr="t"/>
        </w:pict>
      </w:r>
    </w:p>
    <w:bookmarkEnd w:id="25"/>
    <w:bookmarkStart w:id="26" w:name="webassign-homework"/>
    <w:p>
      <w:pPr>
        <w:pStyle w:val="Heading2"/>
      </w:pPr>
      <w:r>
        <w:t xml:space="preserve">WebAssign Homework</w:t>
      </w:r>
    </w:p>
    <w:p>
      <w:pPr>
        <w:pStyle w:val="Compact"/>
        <w:numPr>
          <w:ilvl w:val="0"/>
          <w:numId w:val="1004"/>
        </w:numPr>
      </w:pPr>
      <w:r>
        <w:t xml:space="preserve">Online homework via WebAssign, due</w:t>
      </w:r>
      <w:r>
        <w:t xml:space="preserve"> </w:t>
      </w:r>
      <w:r>
        <w:rPr>
          <w:b/>
          <w:bCs/>
        </w:rPr>
        <w:t xml:space="preserve">11:59 PM on Saturday</w:t>
      </w:r>
      <w:r>
        <w:t xml:space="preserve"> </w:t>
      </w:r>
      <w:r>
        <w:t xml:space="preserve">each week.</w:t>
      </w:r>
    </w:p>
    <w:p>
      <w:pPr>
        <w:pStyle w:val="Compact"/>
        <w:numPr>
          <w:ilvl w:val="0"/>
          <w:numId w:val="1004"/>
        </w:numPr>
      </w:pPr>
      <w:r>
        <w:t xml:space="preserve">Recommended completion dates listed under each module on HuskyCT.</w:t>
      </w:r>
    </w:p>
    <w:p>
      <w:pPr>
        <w:pStyle w:val="Compact"/>
        <w:numPr>
          <w:ilvl w:val="0"/>
          <w:numId w:val="1004"/>
        </w:numPr>
      </w:pPr>
      <w:r>
        <w:t xml:space="preserve">20 attempts per question (for non-MC/T-F questions). Feedback provided after each attempt.</w:t>
      </w:r>
    </w:p>
    <w:p>
      <w:pPr>
        <w:pStyle w:val="Compact"/>
        <w:numPr>
          <w:ilvl w:val="0"/>
          <w:numId w:val="1004"/>
        </w:numPr>
      </w:pPr>
      <w:r>
        <w:t xml:space="preserve">Seek help if unable to answer correctly after initial attempts.</w:t>
      </w:r>
    </w:p>
    <w:p>
      <w:r>
        <w:pict>
          <v:rect style="width:0;height:1.5pt" o:hralign="center" o:hrstd="t" o:hr="t"/>
        </w:pict>
      </w:r>
    </w:p>
    <w:bookmarkEnd w:id="26"/>
    <w:bookmarkStart w:id="27" w:name="worksheets"/>
    <w:p>
      <w:pPr>
        <w:pStyle w:val="Heading2"/>
      </w:pPr>
      <w:r>
        <w:t xml:space="preserve">Worksheets</w:t>
      </w:r>
    </w:p>
    <w:p>
      <w:pPr>
        <w:pStyle w:val="Compact"/>
        <w:numPr>
          <w:ilvl w:val="0"/>
          <w:numId w:val="1005"/>
        </w:numPr>
      </w:pPr>
      <w:r>
        <w:t xml:space="preserve">One worksheet each week, due</w:t>
      </w:r>
      <w:r>
        <w:t xml:space="preserve"> </w:t>
      </w:r>
      <w:r>
        <w:rPr>
          <w:b/>
          <w:bCs/>
        </w:rPr>
        <w:t xml:space="preserve">11:59 PM Saturday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Problem Completion:</w:t>
      </w:r>
      <w:r>
        <w:t xml:space="preserve"> </w:t>
      </w:r>
      <w:r>
        <w:t xml:space="preserve">Complete using course notes/textbook; list additional sources.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Reflection Activity:</w:t>
      </w:r>
      <w:r>
        <w:t xml:space="preserve"> </w:t>
      </w:r>
      <w:r>
        <w:t xml:space="preserve">Use solutions to check work and complete reflections; graded by rubric.</w:t>
      </w:r>
    </w:p>
    <w:p>
      <w:pPr>
        <w:pStyle w:val="Compact"/>
        <w:numPr>
          <w:ilvl w:val="0"/>
          <w:numId w:val="1005"/>
        </w:numPr>
      </w:pPr>
      <w:r>
        <w:t xml:space="preserve">Initial submission graded for completeness; reflection graded for quality.</w:t>
      </w:r>
    </w:p>
    <w:p>
      <w:r>
        <w:pict>
          <v:rect style="width:0;height:1.5pt" o:hralign="center" o:hrstd="t" o:hr="t"/>
        </w:pict>
      </w:r>
    </w:p>
    <w:bookmarkEnd w:id="27"/>
    <w:bookmarkStart w:id="28" w:name="quizzes"/>
    <w:p>
      <w:pPr>
        <w:pStyle w:val="Heading2"/>
      </w:pPr>
      <w:r>
        <w:t xml:space="preserve">Quizzes</w:t>
      </w:r>
    </w:p>
    <w:p>
      <w:pPr>
        <w:pStyle w:val="Compact"/>
        <w:numPr>
          <w:ilvl w:val="0"/>
          <w:numId w:val="1006"/>
        </w:numPr>
      </w:pPr>
      <w:r>
        <w:t xml:space="preserve">Two closed-book quizzes each week (except weeks 3 and 5), open</w:t>
      </w:r>
      <w:r>
        <w:t xml:space="preserve"> </w:t>
      </w:r>
      <w:r>
        <w:rPr>
          <w:b/>
          <w:bCs/>
        </w:rPr>
        <w:t xml:space="preserve">Wednesday through Saturday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Three attempts allowed; highest score counts. Slightly different problems per attempt.</w:t>
      </w:r>
    </w:p>
    <w:p>
      <w:pPr>
        <w:pStyle w:val="Compact"/>
        <w:numPr>
          <w:ilvl w:val="0"/>
          <w:numId w:val="1006"/>
        </w:numPr>
      </w:pPr>
      <w:r>
        <w:t xml:space="preserve">One sheet of notes allowed; no other resources.</w:t>
      </w:r>
    </w:p>
    <w:p>
      <w:pPr>
        <w:pStyle w:val="Compact"/>
        <w:numPr>
          <w:ilvl w:val="0"/>
          <w:numId w:val="1006"/>
        </w:numPr>
      </w:pPr>
      <w:r>
        <w:t xml:space="preserve">Preparation: textbook examples, WebAssign homework, worksheets, class slides.</w:t>
      </w:r>
    </w:p>
    <w:p>
      <w:r>
        <w:pict>
          <v:rect style="width:0;height:1.5pt" o:hralign="center" o:hrstd="t" o:hr="t"/>
        </w:pict>
      </w:r>
    </w:p>
    <w:bookmarkEnd w:id="28"/>
    <w:bookmarkStart w:id="29" w:name="exams"/>
    <w:p>
      <w:pPr>
        <w:pStyle w:val="Heading2"/>
      </w:pPr>
      <w:r>
        <w:t xml:space="preserve">Exams</w:t>
      </w:r>
    </w:p>
    <w:p>
      <w:pPr>
        <w:pStyle w:val="Compact"/>
        <w:numPr>
          <w:ilvl w:val="0"/>
          <w:numId w:val="1007"/>
        </w:numPr>
      </w:pPr>
      <w:r>
        <w:t xml:space="preserve">Three closed-book exams in weeks 2,3 and 5, covering (non-cumulative).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Requirements:</w:t>
      </w:r>
      <w:r>
        <w:t xml:space="preserve"> </w:t>
      </w:r>
      <w:r>
        <w:t xml:space="preserve">LockDown Browser with Respondus Monitor (webcam), one sheet of notes, Desmos.com allowed; no other resources.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Structure:</w:t>
      </w:r>
      <w:r>
        <w:t xml:space="preserve"> </w:t>
      </w:r>
      <w:r>
        <w:t xml:space="preserve">Multiple-Choice and Free Response. Free Response scanned as a single PDF for submission.</w:t>
      </w:r>
    </w:p>
    <w:p>
      <w:pPr>
        <w:pStyle w:val="FirstParagraph"/>
      </w:pPr>
      <w:r>
        <w:rPr>
          <w:b/>
          <w:bCs/>
        </w:rPr>
        <w:t xml:space="preserve">Retakes &amp; Resubmissions:</w:t>
      </w:r>
    </w:p>
    <w:p>
      <w:pPr>
        <w:pStyle w:val="Compact"/>
        <w:numPr>
          <w:ilvl w:val="0"/>
          <w:numId w:val="1008"/>
        </w:numPr>
      </w:pPr>
      <w:r>
        <w:t xml:space="preserve">Multiple-Choice retakes allowed; higher score counts. Must complete by</w:t>
      </w:r>
      <w:r>
        <w:t xml:space="preserve"> </w:t>
      </w:r>
      <w:r>
        <w:rPr>
          <w:b/>
          <w:bCs/>
        </w:rPr>
        <w:t xml:space="preserve">11:59 PM August 15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Free-Response resubmissions: earn up to ½ point per lost point. Must be correct, numbered, neatly written, submitted by</w:t>
      </w:r>
      <w:r>
        <w:t xml:space="preserve"> </w:t>
      </w:r>
      <w:r>
        <w:rPr>
          <w:b/>
          <w:bCs/>
        </w:rPr>
        <w:t xml:space="preserve">August 15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Final work must be your own; discussions with classmates allowed only for conceptual guidance.</w:t>
      </w:r>
    </w:p>
    <w:p>
      <w:r>
        <w:pict>
          <v:rect style="width:0;height:1.5pt" o:hralign="center" o:hrstd="t" o:hr="t"/>
        </w:pict>
      </w:r>
    </w:p>
    <w:bookmarkEnd w:id="29"/>
    <w:bookmarkStart w:id="30" w:name="grading"/>
    <w:p>
      <w:pPr>
        <w:pStyle w:val="Heading2"/>
      </w:pPr>
      <w:r>
        <w:t xml:space="preserve">Grading</w:t>
      </w:r>
    </w:p>
    <w:p>
      <w:pPr>
        <w:pStyle w:val="Compact"/>
        <w:numPr>
          <w:ilvl w:val="0"/>
          <w:numId w:val="1009"/>
        </w:numPr>
      </w:pPr>
      <w:r>
        <w:t xml:space="preserve">WebAssign: 20%</w:t>
      </w:r>
    </w:p>
    <w:p>
      <w:pPr>
        <w:pStyle w:val="Compact"/>
        <w:numPr>
          <w:ilvl w:val="0"/>
          <w:numId w:val="1009"/>
        </w:numPr>
      </w:pPr>
      <w:r>
        <w:t xml:space="preserve">Quizzes: 10%</w:t>
      </w:r>
    </w:p>
    <w:p>
      <w:pPr>
        <w:pStyle w:val="Compact"/>
        <w:numPr>
          <w:ilvl w:val="0"/>
          <w:numId w:val="1009"/>
        </w:numPr>
      </w:pPr>
      <w:r>
        <w:t xml:space="preserve">Worksheets: 10%</w:t>
      </w:r>
    </w:p>
    <w:p>
      <w:pPr>
        <w:pStyle w:val="Compact"/>
        <w:numPr>
          <w:ilvl w:val="0"/>
          <w:numId w:val="1009"/>
        </w:numPr>
      </w:pPr>
      <w:r>
        <w:t xml:space="preserve">Exam 1: 20%</w:t>
      </w:r>
    </w:p>
    <w:p>
      <w:pPr>
        <w:pStyle w:val="Compact"/>
        <w:numPr>
          <w:ilvl w:val="0"/>
          <w:numId w:val="1009"/>
        </w:numPr>
      </w:pPr>
      <w:r>
        <w:t xml:space="preserve">Exam 2: 20%</w:t>
      </w:r>
    </w:p>
    <w:p>
      <w:pPr>
        <w:pStyle w:val="Compact"/>
        <w:numPr>
          <w:ilvl w:val="0"/>
          <w:numId w:val="1009"/>
        </w:numPr>
      </w:pPr>
      <w:r>
        <w:t xml:space="preserve">Exam 3: 20%</w:t>
      </w:r>
    </w:p>
    <w:p>
      <w:pPr>
        <w:pStyle w:val="FirstParagraph"/>
      </w:pPr>
      <w:r>
        <w:rPr>
          <w:b/>
          <w:bCs/>
        </w:rPr>
        <w:t xml:space="preserve">Grading Scale:</w:t>
      </w:r>
    </w:p>
    <w:p>
      <w:pPr>
        <w:pStyle w:val="Compact"/>
        <w:numPr>
          <w:ilvl w:val="0"/>
          <w:numId w:val="1010"/>
        </w:numPr>
      </w:pPr>
      <w:r>
        <w:t xml:space="preserve">92.5–100 A, 89.5–93.4 A-, 86.5–89.4 B+, 82.5–86.4 B, 79.5–82.4 B-, 76.5–79.4 C+, 72.5–76.4 C, 69.5–72.4 C-, 66.5–69.4 D+, 62.5–66.4 D, 59.5–62.4 D-, 0–59.4 F</w:t>
      </w:r>
    </w:p>
    <w:p>
      <w:r>
        <w:pict>
          <v:rect style="width:0;height:1.5pt" o:hralign="center" o:hrstd="t" o:hr="t"/>
        </w:pict>
      </w:r>
    </w:p>
    <w:bookmarkEnd w:id="30"/>
    <w:bookmarkStart w:id="32" w:name="student-authentication-and-verification"/>
    <w:p>
      <w:pPr>
        <w:pStyle w:val="Heading2"/>
      </w:pPr>
      <w:r>
        <w:t xml:space="preserve">Student Authentication and Verification</w:t>
      </w:r>
    </w:p>
    <w:p>
      <w:pPr>
        <w:pStyle w:val="Compact"/>
        <w:numPr>
          <w:ilvl w:val="0"/>
          <w:numId w:val="1011"/>
        </w:numPr>
      </w:pPr>
      <w:r>
        <w:t xml:space="preserve">Secure HuskyCT access using NetID and password.</w:t>
      </w:r>
    </w:p>
    <w:p>
      <w:pPr>
        <w:pStyle w:val="Compact"/>
        <w:numPr>
          <w:ilvl w:val="0"/>
          <w:numId w:val="1011"/>
        </w:numPr>
      </w:pPr>
      <w:r>
        <w:t xml:space="preserve">Online proctoring with LockDown Browser and Respondus Monitor for exams.</w:t>
      </w:r>
    </w:p>
    <w:p>
      <w:pPr>
        <w:pStyle w:val="Compact"/>
        <w:numPr>
          <w:ilvl w:val="0"/>
          <w:numId w:val="1011"/>
        </w:numPr>
      </w:pPr>
      <w:r>
        <w:t xml:space="preserve">More info:</w:t>
      </w:r>
      <w:r>
        <w:t xml:space="preserve"> </w:t>
      </w:r>
      <w:hyperlink r:id="rId31">
        <w:r>
          <w:rPr>
            <w:rStyle w:val="Hyperlink"/>
          </w:rPr>
          <w:t xml:space="preserve">https://kb.uconn.edu/space/TL/10731881788</w:t>
        </w:r>
      </w:hyperlink>
    </w:p>
    <w:p>
      <w:r>
        <w:pict>
          <v:rect style="width:0;height:1.5pt" o:hralign="center" o:hrstd="t" o:hr="t"/>
        </w:pict>
      </w:r>
    </w:p>
    <w:bookmarkEnd w:id="32"/>
    <w:bookmarkStart w:id="34" w:name="academic-integrity"/>
    <w:p>
      <w:pPr>
        <w:pStyle w:val="Heading2"/>
      </w:pPr>
      <w:r>
        <w:t xml:space="preserve">Academic Integrity</w:t>
      </w:r>
    </w:p>
    <w:p>
      <w:pPr>
        <w:pStyle w:val="Compact"/>
        <w:numPr>
          <w:ilvl w:val="0"/>
          <w:numId w:val="1012"/>
        </w:numPr>
      </w:pPr>
      <w:r>
        <w:t xml:space="preserve">Cheating or representing others’ work as your own will be addressed seriously.</w:t>
      </w:r>
    </w:p>
    <w:p>
      <w:pPr>
        <w:pStyle w:val="Compact"/>
        <w:numPr>
          <w:ilvl w:val="0"/>
          <w:numId w:val="1012"/>
        </w:numPr>
      </w:pPr>
      <w:r>
        <w:t xml:space="preserve">Consequences may include zero on the assignment, quiz, or exam, or a course grade of F.</w:t>
      </w:r>
    </w:p>
    <w:p>
      <w:pPr>
        <w:pStyle w:val="Compact"/>
        <w:numPr>
          <w:ilvl w:val="0"/>
          <w:numId w:val="1012"/>
        </w:numPr>
      </w:pPr>
      <w:r>
        <w:t xml:space="preserve">Full policy:</w:t>
      </w:r>
      <w:r>
        <w:t xml:space="preserve"> </w:t>
      </w:r>
      <w:hyperlink r:id="rId33">
        <w:r>
          <w:rPr>
            <w:rStyle w:val="Hyperlink"/>
          </w:rPr>
          <w:t xml:space="preserve">https://community.uconn.edu/the-student-code-appendix-a/</w:t>
        </w:r>
      </w:hyperlink>
    </w:p>
    <w:p>
      <w:r>
        <w:pict>
          <v:rect style="width:0;height:1.5pt" o:hralign="center" o:hrstd="t" o:hr="t"/>
        </w:pict>
      </w:r>
    </w:p>
    <w:bookmarkEnd w:id="34"/>
    <w:bookmarkStart w:id="35" w:name="tips-for-success"/>
    <w:p>
      <w:pPr>
        <w:pStyle w:val="Heading2"/>
      </w:pPr>
      <w:r>
        <w:t xml:space="preserve">Tips for Success</w:t>
      </w:r>
    </w:p>
    <w:p>
      <w:pPr>
        <w:pStyle w:val="Compact"/>
        <w:numPr>
          <w:ilvl w:val="0"/>
          <w:numId w:val="1013"/>
        </w:numPr>
      </w:pPr>
      <w:r>
        <w:t xml:space="preserve">Complete all assignments on time; do not wait until the last minute.</w:t>
      </w:r>
    </w:p>
    <w:p>
      <w:pPr>
        <w:pStyle w:val="Compact"/>
        <w:numPr>
          <w:ilvl w:val="0"/>
          <w:numId w:val="1013"/>
        </w:numPr>
      </w:pPr>
      <w:r>
        <w:t xml:space="preserve">Use office hours and ask for help if falling behind.</w:t>
      </w:r>
    </w:p>
    <w:p>
      <w:r>
        <w:pict>
          <v:rect style="width:0;height:1.5pt" o:hralign="center" o:hrstd="t" o:hr="t"/>
        </w:pict>
      </w:r>
    </w:p>
    <w:bookmarkEnd w:id="35"/>
    <w:bookmarkStart w:id="36" w:name="late-work-policy"/>
    <w:p>
      <w:pPr>
        <w:pStyle w:val="Heading2"/>
      </w:pPr>
      <w:r>
        <w:t xml:space="preserve">Late Work Policy</w:t>
      </w:r>
    </w:p>
    <w:p>
      <w:pPr>
        <w:pStyle w:val="Compact"/>
        <w:numPr>
          <w:ilvl w:val="0"/>
          <w:numId w:val="1014"/>
        </w:numPr>
      </w:pPr>
      <w:r>
        <w:t xml:space="preserve">Contact the instructor ahead of the deadline to discuss extensions.</w:t>
      </w:r>
    </w:p>
    <w:p>
      <w:pPr>
        <w:pStyle w:val="Compact"/>
        <w:numPr>
          <w:ilvl w:val="0"/>
          <w:numId w:val="1014"/>
        </w:numPr>
      </w:pPr>
      <w:r>
        <w:t xml:space="preserve">Late work not accepted without prior communication.</w:t>
      </w:r>
    </w:p>
    <w:p>
      <w:r>
        <w:pict>
          <v:rect style="width:0;height:1.5pt" o:hralign="center" o:hrstd="t" o:hr="t"/>
        </w:pict>
      </w:r>
    </w:p>
    <w:bookmarkEnd w:id="36"/>
    <w:bookmarkStart w:id="37" w:name="student-responsibilities-and-resources"/>
    <w:p>
      <w:pPr>
        <w:pStyle w:val="Heading2"/>
      </w:pPr>
      <w:r>
        <w:t xml:space="preserve">Student Responsibilities and Resources</w:t>
      </w:r>
    </w:p>
    <w:p>
      <w:pPr>
        <w:pStyle w:val="Compact"/>
        <w:numPr>
          <w:ilvl w:val="0"/>
          <w:numId w:val="1015"/>
        </w:numPr>
      </w:pPr>
      <w:r>
        <w:t xml:space="preserve">Uphold UConn academic standards.</w:t>
      </w:r>
    </w:p>
    <w:p>
      <w:pPr>
        <w:pStyle w:val="Compact"/>
        <w:numPr>
          <w:ilvl w:val="0"/>
          <w:numId w:val="1015"/>
        </w:numPr>
      </w:pPr>
      <w:r>
        <w:t xml:space="preserve">Use available resources to succeed academically.</w:t>
      </w:r>
    </w:p>
    <w:p>
      <w:pPr>
        <w:pStyle w:val="Compact"/>
        <w:numPr>
          <w:ilvl w:val="0"/>
          <w:numId w:val="1015"/>
        </w:numPr>
      </w:pPr>
      <w:r>
        <w:t xml:space="preserve">Professional communication is expected on discussion boards, emails, and assignments.</w:t>
      </w:r>
    </w:p>
    <w:p>
      <w:pPr>
        <w:pStyle w:val="Compact"/>
        <w:numPr>
          <w:ilvl w:val="0"/>
          <w:numId w:val="1015"/>
        </w:numPr>
      </w:pPr>
      <w:r>
        <w:t xml:space="preserve">Netiquette guide: Rules of Netiquette in Online &amp; Distance Learning Courses.</w:t>
      </w:r>
    </w:p>
    <w:p>
      <w:r>
        <w:pict>
          <v:rect style="width:0;height:1.5pt" o:hralign="center" o:hrstd="t" o:hr="t"/>
        </w:pict>
      </w:r>
    </w:p>
    <w:bookmarkEnd w:id="37"/>
    <w:bookmarkStart w:id="38" w:name="academic-calendar-course-adddrop"/>
    <w:p>
      <w:pPr>
        <w:pStyle w:val="Heading2"/>
      </w:pPr>
      <w:r>
        <w:t xml:space="preserve">Academic Calendar &amp; Course Add/Drop</w:t>
      </w:r>
    </w:p>
    <w:p>
      <w:pPr>
        <w:pStyle w:val="Compact"/>
        <w:numPr>
          <w:ilvl w:val="0"/>
          <w:numId w:val="1016"/>
        </w:numPr>
      </w:pPr>
      <w:r>
        <w:t xml:space="preserve">Follow official procedures to add/drop courses via Student Administration System.</w:t>
      </w:r>
    </w:p>
    <w:p>
      <w:pPr>
        <w:pStyle w:val="Compact"/>
        <w:numPr>
          <w:ilvl w:val="0"/>
          <w:numId w:val="1016"/>
        </w:numPr>
      </w:pPr>
      <w:r>
        <w:t xml:space="preserve">Non-degree students: refer to Registrar’s office website.</w:t>
      </w:r>
    </w:p>
    <w:p>
      <w:pPr>
        <w:pStyle w:val="Compact"/>
        <w:numPr>
          <w:ilvl w:val="0"/>
          <w:numId w:val="1016"/>
        </w:numPr>
      </w:pPr>
      <w:r>
        <w:t xml:space="preserve">Officially drop courses to avoid receiving an F.</w:t>
      </w:r>
    </w:p>
    <w:p>
      <w:pPr>
        <w:pStyle w:val="Compact"/>
        <w:numPr>
          <w:ilvl w:val="0"/>
          <w:numId w:val="1016"/>
        </w:numPr>
      </w:pPr>
      <w:r>
        <w:t xml:space="preserve">Undergraduate Catalog for details.</w:t>
      </w:r>
    </w:p>
    <w:p>
      <w:r>
        <w:pict>
          <v:rect style="width:0;height:1.5pt" o:hralign="center" o:hrstd="t" o:hr="t"/>
        </w:pict>
      </w:r>
    </w:p>
    <w:bookmarkEnd w:id="38"/>
    <w:bookmarkStart w:id="39" w:name="X11bc6cde6aeaf5c94142cdd9ced406aaa329569"/>
    <w:p>
      <w:pPr>
        <w:pStyle w:val="Heading2"/>
      </w:pPr>
      <w:r>
        <w:t xml:space="preserve">Policy Against Discrimination and Harassment</w:t>
      </w:r>
    </w:p>
    <w:p>
      <w:pPr>
        <w:pStyle w:val="Compact"/>
        <w:numPr>
          <w:ilvl w:val="0"/>
          <w:numId w:val="1017"/>
        </w:numPr>
      </w:pPr>
      <w:r>
        <w:t xml:space="preserve">UConn prohibits discrimination, harassment, and inappropriate amorous relationships.</w:t>
      </w:r>
    </w:p>
    <w:p>
      <w:pPr>
        <w:pStyle w:val="Compact"/>
        <w:numPr>
          <w:ilvl w:val="0"/>
          <w:numId w:val="1017"/>
        </w:numPr>
      </w:pPr>
      <w:r>
        <w:t xml:space="preserve">All non-confidential University employees must report sexual assaults, intimate partner violence, and/or stalking.</w:t>
      </w:r>
    </w:p>
    <w:p>
      <w:pPr>
        <w:pStyle w:val="Compact"/>
        <w:numPr>
          <w:ilvl w:val="0"/>
          <w:numId w:val="1017"/>
        </w:numPr>
      </w:pPr>
      <w:r>
        <w:t xml:space="preserve">More info: equity.uconn.edu and titleix.uconn.edu</w:t>
      </w:r>
    </w:p>
    <w:p>
      <w:r>
        <w:pict>
          <v:rect style="width:0;height:1.5pt" o:hralign="center" o:hrstd="t" o:hr="t"/>
        </w:pict>
      </w:r>
    </w:p>
    <w:bookmarkEnd w:id="39"/>
    <w:bookmarkStart w:id="41" w:name="students-with-disabilities"/>
    <w:p>
      <w:pPr>
        <w:pStyle w:val="Heading2"/>
      </w:pPr>
      <w:r>
        <w:t xml:space="preserve">Students with Disabilities</w:t>
      </w:r>
    </w:p>
    <w:p>
      <w:pPr>
        <w:pStyle w:val="Compact"/>
        <w:numPr>
          <w:ilvl w:val="0"/>
          <w:numId w:val="1018"/>
        </w:numPr>
      </w:pPr>
      <w:r>
        <w:t xml:space="preserve">Contact the instructor to discuss potential challenges.</w:t>
      </w:r>
    </w:p>
    <w:p>
      <w:pPr>
        <w:pStyle w:val="Compact"/>
        <w:numPr>
          <w:ilvl w:val="0"/>
          <w:numId w:val="1018"/>
        </w:numPr>
      </w:pPr>
      <w:r>
        <w:t xml:space="preserve">University committed to accessibility.</w:t>
      </w:r>
    </w:p>
    <w:p>
      <w:pPr>
        <w:pStyle w:val="Compact"/>
        <w:numPr>
          <w:ilvl w:val="0"/>
          <w:numId w:val="1018"/>
        </w:numPr>
      </w:pPr>
      <w:r>
        <w:t xml:space="preserve">Students requiring accommodations: Center for Students with Disabilities, Wilbur Cross Building Room 204, (860) 486-2020,</w:t>
      </w:r>
      <w:r>
        <w:t xml:space="preserve"> </w:t>
      </w:r>
      <w:hyperlink r:id="rId40">
        <w:r>
          <w:rPr>
            <w:rStyle w:val="Hyperlink"/>
          </w:rPr>
          <w:t xml:space="preserve">http://csd.uconn.edu/</w:t>
        </w:r>
      </w:hyperlink>
    </w:p>
    <w:bookmarkEnd w:id="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40" Target="http://csd.uconn.edu/" TargetMode="External" /><Relationship Type="http://schemas.openxmlformats.org/officeDocument/2006/relationships/hyperlink" Id="rId33" Target="https://community.uconn.edu/the-student-code-appendix-a/" TargetMode="External" /><Relationship Type="http://schemas.openxmlformats.org/officeDocument/2006/relationships/hyperlink" Id="rId22" Target="https://huskyct.uconn.edu" TargetMode="External" /><Relationship Type="http://schemas.openxmlformats.org/officeDocument/2006/relationships/hyperlink" Id="rId31" Target="https://kb.uconn.edu/space/TL/10731881788" TargetMode="External" /><Relationship Type="http://schemas.openxmlformats.org/officeDocument/2006/relationships/hyperlink" Id="rId20" Target="mailto:coi25002@uconn.edu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0" Target="http://csd.uconn.edu/" TargetMode="External" /><Relationship Type="http://schemas.openxmlformats.org/officeDocument/2006/relationships/hyperlink" Id="rId33" Target="https://community.uconn.edu/the-student-code-appendix-a/" TargetMode="External" /><Relationship Type="http://schemas.openxmlformats.org/officeDocument/2006/relationships/hyperlink" Id="rId22" Target="https://huskyct.uconn.edu" TargetMode="External" /><Relationship Type="http://schemas.openxmlformats.org/officeDocument/2006/relationships/hyperlink" Id="rId31" Target="https://kb.uconn.edu/space/TL/10731881788" TargetMode="External" /><Relationship Type="http://schemas.openxmlformats.org/officeDocument/2006/relationships/hyperlink" Id="rId20" Target="mailto:coi25002@uconn.edu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2026-03-23T17:54:25Z</dcterms:created>
  <dcterms:modified xsi:type="dcterms:W3CDTF">2026-03-23T17:54:25Z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